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styles.xml" ContentType="application/vnd.openxmlformats-officedocument.wordprocessingml.styles+xml"/>
</Types>
</file>

<file path=_rels/.rels>&#65279;<?xml version="1.0" encoding="utf-8"?><Relationships xmlns="http://schemas.openxmlformats.org/package/2006/relationships"><Relationship Type="http://schemas.openxmlformats.org/officeDocument/2006/relationships/officeDocument" Target="/word/document.xml" Id="Rab2d2c1eb26b4a28" /></Relationships>
</file>

<file path=word/document.xml><?xml version="1.0" encoding="utf-8"?>
<w:document xmlns:w="http://schemas.openxmlformats.org/wordprocessingml/2006/main">
  <w:body>
    <w:p>
      <w:pPr>
        <w:spacing w:line="360" w:lineRule="auto"/>
        <w:jc w:val="right"/>
      </w:pPr>
      <w:r>
        <w:rPr>
          <w:rFonts w:ascii="Cambria Bold" w:hAnsi="Cambria Bold"/>
          <w:b/>
          <w:sz w:val="24"/>
        </w:rPr>
        <w:t>Anexa nr. 15</w:t>
      </w:r>
    </w:p>
    <w:p>
      <w:pPr>
        <w:spacing w:line="360" w:lineRule="auto"/>
      </w:pPr>
      <w:r>
        <w:rPr>
          <w:rFonts w:ascii="Cambria Bold Italic" w:hAnsi="Cambria Bold Italic"/>
          <w:b/>
          <w:i/>
          <w:sz w:val="29"/>
        </w:rPr>
        <w:t>F1 - Fișa de verificare a criteriilor de eligibilitate și de selecție locale</w:t>
      </w:r>
    </w:p>
    <w:p>
      <w:pPr>
        <w:spacing w:line="60" w:lineRule="auto"/>
        <w:ind w:left="0" w:right="0" w:firstLine="493"/>
      </w:pPr>
      <w:r>
        <w:rPr>
          <w:rFonts w:ascii="Cambria" w:hAnsi="Cambria"/>
          <w:b w:val="false"/>
          <w:sz w:val="24"/>
        </w:rPr>
        <w:t> </w:t>
      </w:r>
    </w:p>
    <w:p>
      <w:pPr>
        <w:spacing w:line="264" w:lineRule="auto"/>
      </w:pPr>
      <w:r>
        <w:rPr>
          <w:rFonts w:ascii="Cambria" w:hAnsi="Cambria"/>
          <w:b w:val="false"/>
          <w:sz w:val="24"/>
        </w:rPr>
        <w:t>Nr. autorizație GAL</w:t>
      </w:r>
      <w:r>
        <w:rPr>
          <w:rFonts w:ascii="Cambria" w:hAnsi="Cambria"/>
          <w:b w:val="false"/>
          <w:sz w:val="24"/>
        </w:rPr>
        <w:t>   </w:t>
      </w:r>
      <w:r>
        <w:rPr>
          <w:rFonts w:ascii="Cambria Bold" w:hAnsi="Cambria Bold"/>
          <w:b/>
          <w:sz w:val="24"/>
        </w:rPr>
        <w:t>18</w:t>
      </w:r>
    </w:p>
    <w:p>
      <w:pPr>
        <w:spacing w:line="264" w:lineRule="auto"/>
      </w:pPr>
      <w:r>
        <w:rPr>
          <w:rFonts w:ascii="Cambria" w:hAnsi="Cambria"/>
          <w:b w:val="false"/>
          <w:sz w:val="24"/>
        </w:rPr>
        <w:t>Denumire parteneriat/GAL</w:t>
      </w:r>
      <w:r>
        <w:rPr>
          <w:rFonts w:ascii="Cambria" w:hAnsi="Cambria"/>
          <w:b w:val="false"/>
          <w:sz w:val="24"/>
        </w:rPr>
        <w:t>   </w:t>
      </w:r>
      <w:r>
        <w:rPr>
          <w:rFonts w:ascii="Cambria Bold" w:hAnsi="Cambria Bold"/>
          <w:b/>
          <w:sz w:val="24"/>
        </w:rPr>
        <w:t>ASOCIAȚIA GRUPUL DE ACȚIUNE LOCALĂ BUCEGI - LEAOTA</w:t>
      </w:r>
    </w:p>
    <w:p>
      <w:pPr>
        <w:spacing w:line="264" w:lineRule="auto"/>
      </w:pPr>
      <w:r>
        <w:rPr>
          <w:rFonts w:ascii="Cambria" w:hAnsi="Cambria"/>
          <w:b w:val="false"/>
          <w:sz w:val="24"/>
        </w:rPr>
        <w:t>Denumire intervenție</w:t>
      </w:r>
      <w:r>
        <w:rPr>
          <w:rFonts w:ascii="Cambria" w:hAnsi="Cambria"/>
          <w:b w:val="false"/>
          <w:sz w:val="24"/>
        </w:rPr>
        <w:t>   </w:t>
      </w:r>
      <w:r>
        <w:rPr>
          <w:rFonts w:ascii="Cambria Bold" w:hAnsi="Cambria Bold"/>
          <w:b/>
          <w:sz w:val="24"/>
        </w:rPr>
        <w:t>DEZVOLTAREA INTELIGENTĂ A SATELOR (SMART VILLAGE)</w:t>
      </w:r>
    </w:p>
    <w:p>
      <w:pPr>
        <w:spacing w:line="264" w:lineRule="auto"/>
      </w:pPr>
      <w:r>
        <w:rPr>
          <w:rFonts w:ascii="Cambria" w:hAnsi="Cambria"/>
          <w:b w:val="false"/>
          <w:sz w:val="24"/>
        </w:rPr>
        <w:t>Data de lansare a sesiunii</w:t>
      </w:r>
      <w:r>
        <w:rPr>
          <w:rFonts w:ascii="Cambria" w:hAnsi="Cambria"/>
          <w:b w:val="false"/>
          <w:sz w:val="24"/>
        </w:rPr>
        <w:t>   </w:t>
      </w:r>
      <w:r>
        <w:rPr>
          <w:rFonts w:ascii="Cambria" w:hAnsi="Cambria"/>
          <w:b w:val="false"/>
          <w:color w:val="8F8F8F"/>
          <w:sz w:val="24"/>
        </w:rPr>
        <w:t>_ _ _ _ _ _ _ _ _ _ _ _ _ _ _ _ _ _ _ _ _ _ _ _ _ _ _ _ _ _ _ _ _ _</w:t>
      </w:r>
    </w:p>
    <w:p>
      <w:pPr>
        <w:spacing w:line="264" w:lineRule="auto"/>
      </w:pPr>
      <w:r>
        <w:rPr>
          <w:rFonts w:ascii="Cambria" w:hAnsi="Cambria"/>
          <w:b w:val="false"/>
          <w:sz w:val="24"/>
        </w:rPr>
        <w:t>Denumirea proiectului</w:t>
      </w:r>
      <w:r>
        <w:rPr>
          <w:rFonts w:ascii="Cambria" w:hAnsi="Cambria"/>
          <w:b w:val="false"/>
          <w:sz w:val="24"/>
        </w:rPr>
        <w:t>   </w:t>
      </w:r>
      <w:r>
        <w:rPr>
          <w:rFonts w:ascii="Cambria" w:hAnsi="Cambria"/>
          <w:b w:val="false"/>
          <w:color w:val="8F8F8F"/>
          <w:sz w:val="24"/>
        </w:rPr>
        <w:t>_ _ _ _ _ _ _ _ _ _ _ _ _ _ _ _ _ _ _ _ _ _ _ _ _ _ _ _ _ _ _ _ _ _ _ _</w:t>
      </w:r>
    </w:p>
    <w:p>
      <w:pPr>
        <w:spacing w:line="264" w:lineRule="auto"/>
      </w:pPr>
      <w:r>
        <w:rPr>
          <w:rFonts w:ascii="Cambria" w:hAnsi="Cambria"/>
          <w:b w:val="false"/>
          <w:sz w:val="24"/>
        </w:rPr>
        <w:t>Solicitantul</w:t>
      </w:r>
      <w:r>
        <w:rPr>
          <w:rFonts w:ascii="Cambria" w:hAnsi="Cambria"/>
          <w:b w:val="false"/>
          <w:sz w:val="24"/>
        </w:rPr>
        <w:t>   </w:t>
      </w:r>
      <w:r>
        <w:rPr>
          <w:rFonts w:ascii="Cambria" w:hAnsi="Cambria"/>
          <w:b w:val="false"/>
          <w:color w:val="8F8F8F"/>
          <w:sz w:val="24"/>
        </w:rPr>
        <w:t>_ _ _ _ _ _ _ _ _ _ _ _ _ _ _ _ _ _ _ _ _ _ _ _ _ _ _ _ _ _ _ _ _ _ _ _ _ _ _ _ _ _ _ _</w:t>
      </w:r>
    </w:p>
    <w:p>
      <w:pPr>
        <w:spacing w:line="264" w:lineRule="auto"/>
      </w:pPr>
      <w:r>
        <w:rPr>
          <w:rFonts w:ascii="Cambria" w:hAnsi="Cambria"/>
          <w:b w:val="false"/>
          <w:sz w:val="24"/>
        </w:rPr>
        <w:t>Data depunerii proiectului</w:t>
      </w:r>
      <w:r>
        <w:rPr>
          <w:rFonts w:ascii="Cambria" w:hAnsi="Cambria"/>
          <w:b w:val="false"/>
          <w:sz w:val="24"/>
        </w:rPr>
        <w:t>   </w:t>
      </w:r>
      <w:r>
        <w:rPr>
          <w:rFonts w:ascii="Cambria" w:hAnsi="Cambria"/>
          <w:b w:val="false"/>
          <w:color w:val="8F8F8F"/>
          <w:sz w:val="24"/>
        </w:rPr>
        <w:t>_ _ _ _ _ _ _ _ _ _ _ _ _ _ _ _ _ _ _ _ _ _ _ _ _ _ _ _ _ _ _ _ _</w:t>
      </w:r>
    </w:p>
    <w:p>
      <w:pPr>
        <w:spacing w:line="264" w:lineRule="auto"/>
      </w:pPr>
      <w:r>
        <w:rPr>
          <w:rFonts w:ascii="Cambria" w:hAnsi="Cambria"/>
          <w:b w:val="false"/>
          <w:sz w:val="24"/>
        </w:rPr>
        <w:t>Valoarea publică nerambursabilă a proiectului</w:t>
      </w:r>
      <w:r>
        <w:rPr>
          <w:rFonts w:ascii="Cambria" w:hAnsi="Cambria"/>
          <w:b w:val="false"/>
          <w:sz w:val="24"/>
        </w:rPr>
        <w:t>   </w:t>
      </w:r>
      <w:r>
        <w:rPr>
          <w:rFonts w:ascii="Cambria" w:hAnsi="Cambria"/>
          <w:b w:val="false"/>
          <w:color w:val="8F8F8F"/>
          <w:sz w:val="24"/>
        </w:rPr>
        <w:t>_ _ _ _ _ _ _ _ _ _ _ _ _ _ _ _ _ _ _</w:t>
      </w:r>
    </w:p>
    <w:p>
      <w:pPr>
        <w:spacing w:line="264" w:lineRule="auto"/>
      </w:pPr>
      <w:r>
        <w:rPr>
          <w:rFonts w:ascii="Cambria" w:hAnsi="Cambria"/>
          <w:b w:val="false"/>
          <w:sz w:val="24"/>
        </w:rPr>
        <w:t>Valoarea totală a proiectului</w:t>
      </w:r>
      <w:r>
        <w:rPr>
          <w:rFonts w:ascii="Cambria" w:hAnsi="Cambria"/>
          <w:b w:val="false"/>
          <w:sz w:val="24"/>
        </w:rPr>
        <w:t>   </w:t>
      </w:r>
      <w:r>
        <w:rPr>
          <w:rFonts w:ascii="Cambria" w:hAnsi="Cambria"/>
          <w:b w:val="false"/>
          <w:color w:val="8F8F8F"/>
          <w:sz w:val="24"/>
        </w:rPr>
        <w:t>_ _ _ _ _ _ _ _ _ _ _ _ _ _ _ _ _ _ _ _ _ _ _ _ _ _ _ _ _ _ _ _</w:t>
      </w:r>
    </w:p>
    <w:p>
      <w:pPr>
        <w:spacing w:line="204" w:lineRule="auto"/>
        <w:ind w:left="0" w:right="0" w:firstLine="493"/>
      </w:pPr>
      <w:r>
        <w:rPr>
          <w:rFonts w:ascii="Cambria" w:hAnsi="Cambria"/>
          <w:b w:val="false"/>
          <w:sz w:val="24"/>
        </w:rPr>
        <w:t> </w:t>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214F7D"/>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750" w:type="pct"/>
            <w:shd w:val="clear" w:color="auto" w:fill="214F7D"/>
            <w:vAlign w:val="center"/>
          </w:tcPr>
          <w:p>
            <w:r>
              <w:rPr>
                <w:rFonts w:ascii="Cambria Bold" w:hAnsi="Cambria Bold"/>
                <w:b/>
                <w:color w:val="FFFFFF"/>
                <w:sz w:val="24"/>
              </w:rPr>
              <w:t>Criteriu de eligibilitate</w:t>
            </w:r>
          </w:p>
        </w:tc>
        <w:tc>
          <w:tcPr>
            <w:tcW w:w="500" w:type="pct"/>
            <w:shd w:val="clear" w:color="auto" w:fill="214F7D"/>
            <w:vAlign w:val="center"/>
          </w:tcPr>
          <w:p>
            <w:pPr>
              <w:keepNext/>
              <w:jc w:val="center"/>
            </w:pPr>
            <w:r>
              <w:rPr>
                <w:rFonts w:ascii="Cambria Bold" w:hAnsi="Cambria Bold"/>
                <w:b/>
                <w:color w:val="FFFFFF"/>
                <w:sz w:val="24"/>
              </w:rPr>
              <w:t>DA</w:t>
            </w:r>
          </w:p>
        </w:tc>
        <w:tc>
          <w:tcPr>
            <w:tcW w:w="500" w:type="pct"/>
            <w:shd w:val="clear" w:color="auto" w:fill="214F7D"/>
            <w:vAlign w:val="center"/>
          </w:tcPr>
          <w:p>
            <w:pPr>
              <w:keepNext/>
              <w:jc w:val="center"/>
            </w:pPr>
            <w:r>
              <w:rPr>
                <w:rFonts w:ascii="Cambria Bold" w:hAnsi="Cambria Bold"/>
                <w:b/>
                <w:color w:val="FFFFFF"/>
                <w:sz w:val="24"/>
              </w:rPr>
              <w:t>NU</w:t>
            </w:r>
          </w:p>
        </w:tc>
        <w:tc>
          <w:tcPr>
            <w:shd w:val="clear" w:color="auto" w:fill="214F7D"/>
            <w:vAlign w:val="center"/>
          </w:tcPr>
          <w:p>
            <w:r>
              <w:rPr>
                <w:rFonts w:ascii="Cambria Bold" w:hAnsi="Cambria Bold"/>
                <w:b/>
                <w:color w:val="FFFFFF"/>
                <w:sz w:val="24"/>
              </w:rPr>
              <w:t>Observații / Justificări</w:t>
            </w:r>
          </w:p>
        </w:tc>
      </w:tr>
      <w:tr>
        <w:trPr>
          <w:trHeight w:val="270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Dacă sunt îndeplinite toate condițiile de mai jos, se va bifa</w:t>
            </w:r>
            <w:r>
              <w:rPr>
                <w:rFonts w:ascii="Cambria Bold" w:hAnsi="Cambria Bold"/>
                <w:b/>
                <w:color w:val="FFFFFF"/>
                <w:sz w:val="24"/>
              </w:rPr>
              <w:t> DA  </w:t>
            </w:r>
            <w:r>
              <w:rPr>
                <w:rFonts w:ascii="Cambria" w:hAnsi="Cambria"/>
                <w:b w:val="false"/>
                <w:color w:val="FFFFFF"/>
                <w:sz w:val="24"/>
              </w:rPr>
              <w:t>în fișa de verificare a criteriilor de eligibilitate. În cazul în care sunt identificate neconcordanțe, se va solicita remedierea situației conform cerințelor din Ghidul Solicitantului. În cazul în care solicitantul nu remediază neconcordanța semnalată, se va bifa </w:t>
            </w:r>
            <w:r>
              <w:rPr>
                <w:rFonts w:ascii="Cambria Bold" w:hAnsi="Cambria Bold"/>
                <w:b/>
                <w:color w:val="FFFFFF"/>
                <w:sz w:val="24"/>
              </w:rPr>
              <w:t> NU  </w:t>
            </w:r>
            <w:r>
              <w:rPr>
                <w:rFonts w:ascii="Cambria" w:hAnsi="Cambria"/>
                <w:b w:val="false"/>
                <w:color w:val="FFFFFF"/>
                <w:sz w:val="24"/>
              </w:rPr>
              <w:t>și se va menționa acest aspect la rubrica, alături de justificarea privind neîndeplinirea criteriului. În cazul în care situația este remediată, la rubrica </w:t>
            </w:r>
            <w:r>
              <w:rPr>
                <w:rFonts w:ascii="Cambria Bold" w:hAnsi="Cambria Bold"/>
                <w:b/>
                <w:color w:val="FFFFFF"/>
                <w:sz w:val="24"/>
              </w:rPr>
              <w:t> Observații  </w:t>
            </w:r>
            <w:r>
              <w:rPr>
                <w:rFonts w:ascii="Cambria" w:hAnsi="Cambria"/>
                <w:b w:val="false"/>
                <w:color w:val="FFFFFF"/>
                <w:sz w:val="24"/>
              </w:rPr>
              <w:t>se va specifica mențiunea </w:t>
            </w:r>
            <w:r>
              <w:rPr>
                <w:rFonts w:ascii="Cambria Bold" w:hAnsi="Cambria Bold"/>
                <w:b/>
                <w:color w:val="FFFFFF"/>
                <w:sz w:val="24"/>
              </w:rPr>
              <w:t> Criteriul este îndeplinit ca urmare a răspunsului la solicitarea de clarificări  </w:t>
            </w:r>
            <w:r>
              <w:rPr>
                <w:rFonts w:ascii="Cambria" w:hAnsi="Cambria"/>
                <w:b w:val="false"/>
                <w:color w:val="FFFFFF"/>
                <w:sz w:val="24"/>
              </w:rPr>
              <w:t>și se va bifa </w:t>
            </w:r>
            <w:r>
              <w:rPr>
                <w:rFonts w:ascii="Cambria Bold" w:hAnsi="Cambria Bold"/>
                <w:b/>
                <w:color w:val="FFFFFF"/>
                <w:sz w:val="24"/>
              </w:rPr>
              <w:t> DA</w:t>
            </w:r>
            <w:r>
              <w:rPr>
                <w:rFonts w:ascii="Cambria" w:hAnsi="Cambria"/>
                <w:b w:val="false"/>
                <w:color w:val="FFFFFF"/>
                <w:sz w:val="24"/>
              </w:rPr>
              <w:t>.</w:t>
            </w:r>
          </w:p>
        </w:tc>
      </w:tr>
      <w:tr>
        <w:trPr>
          <w:trHeight w:val="540" w:hRule="atLeast"/>
        </w:trPr>
        <w:tc>
          <w:tcPr>
            <w:vMerge w:val="restart"/>
            <w:vAlign w:val="center"/>
          </w:tcPr>
          <w:p>
            <w:r>
              <w:rPr>
                <w:rFonts w:ascii="Cambria Bold" w:hAnsi="Cambria Bold"/>
                <w:b/>
                <w:color w:val="1B4167"/>
                <w:sz w:val="24"/>
              </w:rPr>
              <w:t>EG 1</w:t>
            </w:r>
          </w:p>
        </w:tc>
        <w:tc>
          <w:tcPr>
            <w:vAlign w:val="center"/>
          </w:tcPr>
          <w:p>
            <w:r>
              <w:rPr>
                <w:rFonts w:ascii="Cambria Bold" w:hAnsi="Cambria Bold"/>
                <w:b/>
                <w:color w:val="1B4167"/>
                <w:sz w:val="24"/>
              </w:rPr>
              <w:t>Solicitantul trebuie să se încadreze în categoria beneficiarilor eligibili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Documente obligatorii:- Cerere de finanțare;- Documente care atestă forma de organizare a solicitantului;Metodologia de verificare: Se verifică dacă solicitantul se încadrează încategoriile de beneficiari eligibili, respectiv: Autoritățile Publice Locale;Asociaţii de dezvoltare intercomunitară; Grup de Acțiune Locală; Asociații și fundații.Se verifică în Cererea de finanțare, secțiunea A4 Denumire solicitant șisecțiunea A9.3 Tip beneficiar , precum și în documentele constitutiveanexate dosarului de finanțare.</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2</w:t>
            </w:r>
          </w:p>
        </w:tc>
        <w:tc>
          <w:tcPr>
            <w:vAlign w:val="center"/>
          </w:tcPr>
          <w:p>
            <w:r>
              <w:rPr>
                <w:rFonts w:ascii="Cambria Bold" w:hAnsi="Cambria Bold"/>
                <w:b/>
                <w:color w:val="1B4167"/>
                <w:sz w:val="24"/>
              </w:rPr>
              <w:t>Investiția să se realizeze în spațiul GAL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Documente obligatorii:- Cerere de finanțare;- Documentaţie tehnică proiect: SF/DALI/MJ;- Documente pentru terenurile și/sau clădirile aferente realizăriiinvestiției.Metodologia de verificare: În cazul beneficiarilor UAT: Terenul pe care se amplasează proiectul trebuie să fie înregistrat în domeniul public. Însituaţia în care în inventarul publicat în Monitorul Oficial al Românieiterenurile care fac obiectul proiectului nu sunt incluse în domeniulpublic, sunt incluse într-o poziţie globală sau nu sunt clasificate, expertulverifică legalitatea modificărilor/ completărilor efectuate şi dacă prinacestea se dovedeşte că terenul sau drumurile care fac obiectulproiectului aparţin domeniului public.Dacă în inventarul bunurilor ce aparţin domeniului public al comunei,publicat în Monitorul oficial al României, terenurile care fac obiectulproiectului nu sunt incluse în domeniul public, sau sunt incluse într-opoziţie globală, expertul va ţine cont de Hotărârea Consiliului Localprivind aprobarea modificărilor şi/sau completărilor la inventar însensul includerii în domeniul public sau detalierii poziției globaleexistente.În cazul celorlalți beneficiari eligibili (Asociații de Dezvoltare Intercomunitară, Grup de Acțiune Locală, Asociaţii şi fundaţii)bunurile imobile care fac obiectul realizării investiţiei propuse trebuie săfie situate în teritoriul GAL.</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3  </w:t>
            </w:r>
          </w:p>
        </w:tc>
        <w:tc>
          <w:tcPr>
            <w:vAlign w:val="center"/>
          </w:tcPr>
          <w:p>
            <w:r>
              <w:rPr>
                <w:rFonts w:ascii="Cambria Bold" w:hAnsi="Cambria Bold"/>
                <w:b/>
                <w:color w:val="1B4167"/>
                <w:sz w:val="24"/>
              </w:rPr>
              <w:t>Solicitantul trebuie să facă dovada proprietății / administrării terenului / bunului pe care se realizează investiția;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Bold" w:hAnsi="Cambria Bold"/>
                <w:b/>
                <w:sz w:val="24"/>
                <w:shd w:val="clear" w:fill="F7F7F7"/>
              </w:rPr>
              <w:t>Documente obligatorii:</w:t>
            </w:r>
            <w:r>
              <w:rPr>
                <w:rFonts w:ascii="Cambria" w:hAnsi="Cambria"/>
                <w:b w:val="false"/>
                <w:sz w:val="24"/>
                <w:shd w:val="clear" w:fill="F7F7F7"/>
              </w:rPr>
              <w:t>- Cerere de finanțare;</w:t>
            </w:r>
            <w:r>
              <w:rPr>
                <w:rFonts w:ascii="Cambria" w:hAnsi="Cambria"/>
                <w:b w:val="false"/>
                <w:sz w:val="24"/>
                <w:shd w:val="clear" w:fill="F7F7F7"/>
              </w:rPr>
              <w:t>- Documentaţie tehnică proiect: SF/DALI/MJ;</w:t>
            </w:r>
            <w:r>
              <w:rPr>
                <w:rFonts w:ascii="Cambria" w:hAnsi="Cambria"/>
                <w:b w:val="false"/>
                <w:sz w:val="24"/>
                <w:shd w:val="clear" w:fill="F7F7F7"/>
              </w:rPr>
              <w:t>- Documente pentru terenurile și/sau clădirile aferente realizării</w:t>
            </w:r>
            <w:r>
              <w:rPr>
                <w:rFonts w:ascii="Cambria" w:hAnsi="Cambria"/>
                <w:b w:val="false"/>
                <w:sz w:val="24"/>
                <w:shd w:val="clear" w:fill="F7F7F7"/>
              </w:rPr>
              <w:t>investiției.</w:t>
            </w:r>
            <w:r>
              <w:rPr>
                <w:rFonts w:ascii="Cambria Bold" w:hAnsi="Cambria Bold"/>
                <w:b/>
                <w:sz w:val="24"/>
                <w:shd w:val="clear" w:fill="F7F7F7"/>
              </w:rPr>
              <w:t>Metodologia de verificare:</w:t>
            </w:r>
            <w:r>
              <w:rPr>
                <w:rFonts w:ascii="Cambria" w:hAnsi="Cambria"/>
                <w:b w:val="false"/>
                <w:sz w:val="24"/>
                <w:shd w:val="clear" w:fill="F7F7F7"/>
              </w:rPr>
              <w:t>  În cazul beneficiarilor UAT: Terenul pe care se</w:t>
            </w:r>
            <w:r>
              <w:rPr>
                <w:rFonts w:ascii="Cambria" w:hAnsi="Cambria"/>
                <w:b w:val="false"/>
                <w:sz w:val="24"/>
                <w:shd w:val="clear" w:fill="F7F7F7"/>
              </w:rPr>
              <w:t>amplasează proiectul trebuie să fie înregistrat în domeniul public. În</w:t>
            </w:r>
            <w:r>
              <w:rPr>
                <w:rFonts w:ascii="Cambria" w:hAnsi="Cambria"/>
                <w:b w:val="false"/>
                <w:sz w:val="24"/>
                <w:shd w:val="clear" w:fill="F7F7F7"/>
              </w:rPr>
              <w:t>situaţia în care în inventarul publicat în Monitorul Oficial al României</w:t>
            </w:r>
            <w:r>
              <w:rPr>
                <w:rFonts w:ascii="Cambria" w:hAnsi="Cambria"/>
                <w:b w:val="false"/>
                <w:sz w:val="24"/>
                <w:shd w:val="clear" w:fill="F7F7F7"/>
              </w:rPr>
              <w:t>terenurile care fac obiectul proiectului nu sunt incluse în domeniul</w:t>
            </w:r>
            <w:r>
              <w:rPr>
                <w:rFonts w:ascii="Cambria" w:hAnsi="Cambria"/>
                <w:b w:val="false"/>
                <w:sz w:val="24"/>
                <w:shd w:val="clear" w:fill="F7F7F7"/>
              </w:rPr>
              <w:t>public, sunt incluse într-o poziţie globală sau nu sunt clasificate, expertul</w:t>
            </w:r>
            <w:r>
              <w:rPr>
                <w:rFonts w:ascii="Cambria" w:hAnsi="Cambria"/>
                <w:b w:val="false"/>
                <w:sz w:val="24"/>
                <w:shd w:val="clear" w:fill="F7F7F7"/>
              </w:rPr>
              <w:t>verifică legalitatea modificărilor/ completărilor efectuate şi dacă prin</w:t>
            </w:r>
            <w:r>
              <w:rPr>
                <w:rFonts w:ascii="Cambria" w:hAnsi="Cambria"/>
                <w:b w:val="false"/>
                <w:sz w:val="24"/>
                <w:shd w:val="clear" w:fill="F7F7F7"/>
              </w:rPr>
              <w:t>acestea se dovedeşte că terenul sau drumurile care fac obiectul</w:t>
            </w:r>
            <w:r>
              <w:rPr>
                <w:rFonts w:ascii="Cambria" w:hAnsi="Cambria"/>
                <w:b w:val="false"/>
                <w:sz w:val="24"/>
                <w:shd w:val="clear" w:fill="F7F7F7"/>
              </w:rPr>
              <w:t>proiectului aparţin domeniului public.</w:t>
            </w:r>
            <w:r>
              <w:rPr>
                <w:rFonts w:ascii="Cambria" w:hAnsi="Cambria"/>
                <w:b w:val="false"/>
                <w:sz w:val="24"/>
                <w:shd w:val="clear" w:fill="F7F7F7"/>
              </w:rPr>
              <w:t>Dacă în inventarul bunurilor ce aparţin domeniului public al comunei,</w:t>
            </w:r>
            <w:r>
              <w:rPr>
                <w:rFonts w:ascii="Cambria" w:hAnsi="Cambria"/>
                <w:b w:val="false"/>
                <w:sz w:val="24"/>
                <w:shd w:val="clear" w:fill="F7F7F7"/>
              </w:rPr>
              <w:t>publicat în Monitorul oficial al României, terenurile care fac obiectul</w:t>
            </w:r>
            <w:r>
              <w:rPr>
                <w:rFonts w:ascii="Cambria" w:hAnsi="Cambria"/>
                <w:b w:val="false"/>
                <w:sz w:val="24"/>
                <w:shd w:val="clear" w:fill="F7F7F7"/>
              </w:rPr>
              <w:t>proiectului nu sunt incluse în domeniul public, sau sunt incluse într-o</w:t>
            </w:r>
            <w:r>
              <w:rPr>
                <w:rFonts w:ascii="Cambria" w:hAnsi="Cambria"/>
                <w:b w:val="false"/>
                <w:sz w:val="24"/>
                <w:shd w:val="clear" w:fill="F7F7F7"/>
              </w:rPr>
              <w:t>poziţie globală, expertul va ţine cont de Hotărârea Consiliului Local</w:t>
            </w:r>
            <w:r>
              <w:rPr>
                <w:rFonts w:ascii="Cambria" w:hAnsi="Cambria"/>
                <w:b w:val="false"/>
                <w:sz w:val="24"/>
                <w:shd w:val="clear" w:fill="F7F7F7"/>
              </w:rPr>
              <w:t>privind aprobarea modificărilor şi/sau completărilor la inventar în</w:t>
            </w:r>
            <w:r>
              <w:rPr>
                <w:rFonts w:ascii="Cambria" w:hAnsi="Cambria"/>
                <w:b w:val="false"/>
                <w:sz w:val="24"/>
                <w:shd w:val="clear" w:fill="F7F7F7"/>
              </w:rPr>
              <w:t>sensul includerii în domeniul public sau detalierii poziției globale</w:t>
            </w:r>
            <w:r>
              <w:rPr>
                <w:rFonts w:ascii="Cambria" w:hAnsi="Cambria"/>
                <w:b w:val="false"/>
                <w:sz w:val="24"/>
                <w:shd w:val="clear" w:fill="F7F7F7"/>
              </w:rPr>
              <w:t>existente.</w:t>
            </w:r>
            <w:r>
              <w:rPr>
                <w:rFonts w:ascii="Cambria" w:hAnsi="Cambria"/>
                <w:b w:val="false"/>
                <w:sz w:val="24"/>
                <w:shd w:val="clear" w:fill="F7F7F7"/>
              </w:rPr>
              <w:t>În cazul celorlalți beneficiari eligibili (Asociații de Dezvoltare Intercomunitară, Grup de Acțiune Locală, Asociaţii şi fundaţii)</w:t>
            </w:r>
            <w:r>
              <w:rPr>
                <w:rFonts w:ascii="Cambria" w:hAnsi="Cambria"/>
                <w:b w:val="false"/>
                <w:sz w:val="24"/>
                <w:shd w:val="clear" w:fill="F7F7F7"/>
              </w:rPr>
              <w:t>aceștia trebuie să facă dovada că bunurile imobile care fac obiectul realizării investiţiei sunt în proprietatea / administrarea acestora.</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4</w:t>
            </w:r>
          </w:p>
        </w:tc>
        <w:tc>
          <w:tcPr>
            <w:vAlign w:val="center"/>
          </w:tcPr>
          <w:p>
            <w:r>
              <w:rPr>
                <w:rFonts w:ascii="Cambria Bold" w:hAnsi="Cambria Bold"/>
                <w:b/>
                <w:color w:val="1B4167"/>
                <w:sz w:val="24"/>
              </w:rPr>
              <w:t>Solicitantul nu trebuie să fie în insolvență sau în incapacitate de plată;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Documente obligatorii:- Cerere de finanțareMetodologia de verificare: Se verifică dacă solicitantul și-a asumat prinDeclaraţia pe proprie răspundere din secțiunea F a Cererii de finanțarefaptul că nu este în inolvență.</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5</w:t>
            </w:r>
          </w:p>
        </w:tc>
        <w:tc>
          <w:tcPr>
            <w:vAlign w:val="center"/>
          </w:tcPr>
          <w:p>
            <w:r>
              <w:rPr>
                <w:rFonts w:ascii="Cambria Bold" w:hAnsi="Cambria Bold"/>
                <w:b/>
                <w:color w:val="1B4167"/>
                <w:sz w:val="24"/>
              </w:rPr>
              <w:t>Solicitantul se angajează să asigure întreținerea / mentenanța investiției pe o perioadă de minim 3 ani (5 ani pentru proiectele care prevăd Constructii+Montaj), de la finalizarea ultimei cereri de plată;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Documente obligatorii:- Hotărârea Consiliului Local pentru implementarea proiectului;- Hotărârea Adunării Generale pentru implementarea proiectului specific fiecărei categorii de solicitanți.Metodologia de verificare: Se verifică în Hotărârea pentru implementarea proiectului, angajamentul de a asigura întreținerea / mentenanța investiției pe o perioadă de minim 3 ani (5 ani pentru proiectele care prevăd Constructii+Montaj), de la finalizarea ultimei cereri de plată;</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6</w:t>
            </w:r>
          </w:p>
        </w:tc>
        <w:tc>
          <w:tcPr>
            <w:vAlign w:val="center"/>
          </w:tcPr>
          <w:p>
            <w:r>
              <w:rPr>
                <w:rFonts w:ascii="Cambria Bold" w:hAnsi="Cambria Bold"/>
                <w:b/>
                <w:color w:val="1B4167"/>
                <w:sz w:val="24"/>
              </w:rPr>
              <w:t>Investiția să se încadreze în tipul de sprijin prevăzut prin intervenție;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Documente obligatorii:- Cerere de finanțare;- Documentaţie tehnică proiect: SF/DALI/MJ;Metodologia de verificare: Se verifică în baza informaţiilor dinCF/SF/DALI/MJ, dacă investiția se încadrează în cel puțin unul dintipurile de sprijin menționate în cadrul secțiunii Tipuri de investiții / servicii şi cheltuieli eligibile.</w:t>
            </w:r>
          </w:p>
        </w:tc>
        <w:tc>
          <w:tcPr>
            <w:tcW w:w="0"/>
            <w:vMerge w:val="continue"/>
          </w:tcPr>
          <w:p/>
        </w:tc>
        <w:tc>
          <w:tcPr>
            <w:tcW w:w="0"/>
            <w:vMerge w:val="continue"/>
          </w:tcPr>
          <w:p/>
        </w:tc>
        <w:tc>
          <w:tcPr>
            <w:tcW w:w="0"/>
            <w:vMerge w:val="continue"/>
          </w:tcPr>
          <w:p/>
        </w:tc>
      </w:tr>
      <w:tr>
        <w:trPr/>
        <w:tc>
          <w:tcPr>
            <w:tcW w:w="400" w:type="pct"/>
            <w:shd w:val="clear" w:color="auto" w:fill="214F7D"/>
            <w:vAlign w:val="center"/>
          </w:tcPr>
          <w:p>
            <w:r>
              <w:rPr>
                <w:rFonts w:ascii="Cambria" w:hAnsi="Cambria"/>
                <w:b w:val="false"/>
                <w:color w:val="FFFFFF"/>
                <w:sz w:val="24"/>
              </w:rPr>
              <w:t>EG AFIR</w:t>
            </w:r>
          </w:p>
        </w:tc>
        <w:tc>
          <w:tcPr>
            <w:tcW w:w="1750" w:type="pct"/>
            <w:shd w:val="clear" w:color="auto" w:fill="214F7D"/>
            <w:vAlign w:val="center"/>
          </w:tcPr>
          <w:p>
            <w:r>
              <w:rPr>
                <w:rFonts w:ascii="Cambria Bold" w:hAnsi="Cambria Bold"/>
                <w:b/>
                <w:color w:val="FFFFFF"/>
                <w:sz w:val="24"/>
              </w:rPr>
              <w:t>Proiectul respectă criteriile de eligibilitate generale verificate în baza formularului de verificare specific din procedura AFIR</w:t>
            </w:r>
          </w:p>
        </w:tc>
        <w:tc>
          <w:tcPr>
            <w:shd w:val="clear" w:color="auto" w:fill="214F7D"/>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color w:val="000000"/>
                      <w:sz w:val="21"/>
                    </w:rPr>
                    <w:t> </w:t>
                  </w:r>
                </w:p>
              </w:tc>
            </w:tr>
          </w:tbl>
          <w:p>
            <w:r>
              <w:rPr>
                <w:rFonts w:ascii="Cambria" w:hAnsi="Cambria"/>
                <w:b w:val="false"/>
                <w:sz w:val="24"/>
              </w:rPr>
              <w:t> </w:t>
            </w:r>
          </w:p>
        </w:tc>
        <w:tc>
          <w:tcPr>
            <w:shd w:val="clear" w:color="auto" w:fill="214F7D"/>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color w:val="000000"/>
                      <w:sz w:val="21"/>
                    </w:rPr>
                    <w:t> </w:t>
                  </w:r>
                </w:p>
              </w:tc>
            </w:tr>
          </w:tbl>
          <w:p>
            <w:r>
              <w:rPr>
                <w:rFonts w:ascii="Cambria" w:hAnsi="Cambria"/>
                <w:b w:val="false"/>
                <w:sz w:val="24"/>
              </w:rPr>
              <w:t> </w:t>
            </w:r>
          </w:p>
        </w:tc>
        <w:tc>
          <w:tcPr>
            <w:shd w:val="clear" w:color="auto" w:fill="214F7D"/>
            <w:vAlign w:val="center"/>
          </w:tcP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tbl>
      <w:tblPr>
        <w:tblStyle w:val="TableGrid"/>
        <w:tblW w:w="5000" w:type="pct"/>
        <w:tblBorders>
          <w:top w:val="none"/>
          <w:left w:val="none"/>
          <w:bottom w:val="none"/>
          <w:right w:val="none"/>
          <w:insideH w:val="none"/>
          <w:insideV w:val="none"/>
        </w:tblBorders>
        <w:tblCellMar>
          <w:top w:w="45" w:type="dxa"/>
          <w:left w:w="45" w:type="dxa"/>
          <w:bottom w:w="45" w:type="dxa"/>
          <w:right w:w="45" w:type="dxa"/>
        </w:tblCellMar>
      </w:tblPr>
      <w:tblGrid>
        <w:gridCol/>
        <w:gridCol/>
        <w:gridCol/>
        <w:gridCol/>
      </w:tblGrid>
      <w:tr>
        <w:trPr>
          <w:trHeight w:val="720" w:hRule="atLeast"/>
        </w:trPr>
        <w:tc>
          <w:tcPr>
            <w:tcW w:w="1500" w:type="pct"/>
            <w:vAlign w:val="center"/>
          </w:tcPr>
          <w:p>
            <w:pPr>
              <w:keepNext/>
              <w:jc w:val="right"/>
            </w:pPr>
            <w:r>
              <w:rPr>
                <w:rFonts w:ascii="Cambria Bold" w:hAnsi="Cambria Bold"/>
                <w:b/>
                <w:sz w:val="29"/>
              </w:rPr>
              <w:t>ELIGIBIL</w:t>
            </w:r>
            <w:r>
              <w:rPr>
                <w:rFonts w:ascii="Cambria" w:hAnsi="Cambria"/>
                <w:b w:val="false"/>
                <w:sz w:val="24"/>
              </w:rPr>
              <w:t>  </w:t>
            </w:r>
          </w:p>
        </w:tc>
        <w:tc>
          <w:tcPr>
            <w:tcW w:w="1000" w:type="pct"/>
            <w:vAlign w:val="center"/>
          </w:tcPr>
          <w:tbl>
            <w:tblPr>
              <w:tblStyle w:val="TableGrid"/>
              <w:tblW w:w="450" w:type="dxa"/>
              <w:jc w:val="left"/>
            </w:tblPr>
            <w:tblGrid>
              <w:gridCol/>
            </w:tblGrid>
            <w:tr>
              <w:trPr>
                <w:trHeight w:val="420" w:hRule="atLeast"/>
              </w:trPr>
              <w:tc>
                <w:tcPr>
                  <w:tcW w:w="1000" w:type="pct"/>
                  <w:shd w:val="clear" w:color="auto" w:fill="D4DFE9"/>
                  <w:vAlign w:val="center"/>
                </w:tcPr>
                <w:p>
                  <w:pPr>
                    <w:keepNext/>
                    <w:jc w:val="center"/>
                  </w:pPr>
                  <w:r>
                    <w:rPr>
                      <w:rFonts w:ascii="Cambria" w:hAnsi="Cambria"/>
                      <w:b w:val="false"/>
                      <w:sz w:val="24"/>
                    </w:rPr>
                    <w:t> </w:t>
                  </w:r>
                </w:p>
              </w:tc>
            </w:tr>
          </w:tbl>
          <w:p/>
        </w:tc>
        <w:tc>
          <w:tcPr>
            <w:tcW w:w="1500" w:type="pct"/>
            <w:vAlign w:val="center"/>
          </w:tcPr>
          <w:p>
            <w:pPr>
              <w:keepNext/>
              <w:jc w:val="right"/>
            </w:pPr>
            <w:r>
              <w:rPr>
                <w:rFonts w:ascii="Cambria Bold" w:hAnsi="Cambria Bold"/>
                <w:b/>
                <w:sz w:val="29"/>
              </w:rPr>
              <w:t>NEELIGIBIL</w:t>
            </w:r>
            <w:r>
              <w:rPr>
                <w:rFonts w:ascii="Cambria" w:hAnsi="Cambria"/>
                <w:b w:val="false"/>
                <w:sz w:val="24"/>
              </w:rPr>
              <w:t>  </w:t>
            </w:r>
          </w:p>
        </w:tc>
        <w:tc>
          <w:tcPr>
            <w:tcW w:w="1000" w:type="pct"/>
            <w:vAlign w:val="center"/>
          </w:tcPr>
          <w:tbl>
            <w:tblPr>
              <w:tblStyle w:val="TableGrid"/>
              <w:tblW w:w="450" w:type="dxa"/>
              <w:jc w:val="left"/>
            </w:tblPr>
            <w:tblGrid>
              <w:gridCol/>
            </w:tblGrid>
            <w:tr>
              <w:trPr>
                <w:trHeight w:val="420" w:hRule="atLeast"/>
              </w:trPr>
              <w:tc>
                <w:tcPr>
                  <w:tcW w:w="1000" w:type="pct"/>
                  <w:shd w:val="clear" w:color="auto" w:fill="D4DFE9"/>
                  <w:vAlign w:val="center"/>
                </w:tcPr>
                <w:p>
                  <w:pPr>
                    <w:keepNext/>
                    <w:jc w:val="center"/>
                  </w:pPr>
                  <w:r>
                    <w:rPr>
                      <w:rFonts w:ascii="Cambria" w:hAnsi="Cambria"/>
                      <w:b w:val="false"/>
                      <w:sz w:val="24"/>
                    </w:rPr>
                    <w:t> </w:t>
                  </w:r>
                </w:p>
              </w:tc>
            </w:tr>
          </w:tbl>
          <w:p/>
        </w:tc>
      </w:tr>
    </w:tbl>
    <w:p>
      <w:pPr>
        <w:spacing w:line="360" w:lineRule="auto"/>
        <w:ind w:left="0" w:right="0" w:firstLine="493"/>
      </w:pPr>
      <w:r>
        <w:rPr>
          <w:rFonts w:ascii="Cambria" w:hAnsi="Cambria"/>
          <w:b w:val="false"/>
          <w:sz w:val="24"/>
        </w:rPr>
        <w:br/>
      </w:r>
      <w:r>
        <w:rPr>
          <w:rFonts w:ascii="Cambria" w:hAnsi="Cambria"/>
          <w:b w:val="false"/>
          <w:sz w:val="24"/>
        </w:rPr>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015840"/>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500" w:type="pct"/>
            <w:shd w:val="clear" w:color="auto" w:fill="015840"/>
            <w:vAlign w:val="center"/>
          </w:tcPr>
          <w:p>
            <w:r>
              <w:rPr>
                <w:rFonts w:ascii="Cambria Bold" w:hAnsi="Cambria Bold"/>
                <w:b/>
                <w:color w:val="FFFFFF"/>
                <w:sz w:val="24"/>
              </w:rPr>
              <w:t>Principii și criterii de selecție</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maxim</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obținut</w:t>
            </w:r>
          </w:p>
        </w:tc>
        <w:tc>
          <w:tcPr>
            <w:shd w:val="clear" w:color="auto" w:fill="015840"/>
            <w:vAlign w:val="center"/>
          </w:tcPr>
          <w:p>
            <w:pPr>
              <w:keepNext/>
              <w:jc w:val="center"/>
            </w:pPr>
            <w:r>
              <w:rPr>
                <w:rFonts w:ascii="Cambria Bold" w:hAnsi="Cambria Bold"/>
                <w:b/>
                <w:color w:val="FFFFFF"/>
                <w:sz w:val="24"/>
              </w:rPr>
              <w:t>Justificare</w:t>
            </w:r>
          </w:p>
        </w:tc>
      </w:tr>
      <w:tr>
        <w:trPr>
          <w:trHeight w:val="45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Pentru fiecare criteriu de selecție este necesară justificarea acordării punctajului</w:t>
            </w:r>
          </w:p>
        </w:tc>
      </w:tr>
      <w:tr>
        <w:trPr>
          <w:trHeight w:val="540" w:hRule="atLeast"/>
        </w:trPr>
        <w:tc>
          <w:tcPr>
            <w:gridSpan w:val="2"/>
            <w:shd w:val="clear" w:color="auto" w:fill="CCE1DB"/>
            <w:vAlign w:val="center"/>
          </w:tcPr>
          <w:p>
            <w:r>
              <w:rPr>
                <w:rFonts w:ascii="Cambria" w:hAnsi="Cambria"/>
                <w:b w:val="false"/>
                <w:color w:val="014935"/>
                <w:sz w:val="24"/>
              </w:rPr>
              <w:t>1</w:t>
            </w:r>
            <w:r>
              <w:rPr>
                <w:rFonts w:ascii="Cambria" w:hAnsi="Cambria"/>
                <w:b w:val="false"/>
                <w:color w:val="014935"/>
                <w:sz w:val="24"/>
              </w:rPr>
              <w:t>   </w:t>
            </w:r>
            <w:r>
              <w:rPr>
                <w:rFonts w:ascii="Cambria Bold" w:hAnsi="Cambria Bold"/>
                <w:b/>
                <w:color w:val="014935"/>
                <w:sz w:val="24"/>
              </w:rPr>
              <w:t>Principiul prioritizării investiţiilor care identifică soluţii inovatoare (de ex: eficienţa energetică şi promovarea energiei din surse regenerabile);</w:t>
            </w:r>
          </w:p>
        </w:tc>
        <w:tc>
          <w:tcPr>
            <w:shd w:val="clear" w:color="auto" w:fill="CCE1DB"/>
            <w:vAlign w:val="center"/>
          </w:tcPr>
          <w:p>
            <w:pPr>
              <w:spacing w:line="360" w:lineRule="auto"/>
              <w:ind w:left="0" w:right="0" w:firstLine="493"/>
            </w:pPr>
            <w:r>
              <w:rPr>
                <w:rFonts w:ascii="Cambria Bold" w:hAnsi="Cambria Bold"/>
                <w:b/>
                <w:color w:val="014935"/>
                <w:sz w:val="24"/>
              </w:rPr>
              <w:t>35</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 1</w:t>
            </w:r>
          </w:p>
        </w:tc>
        <w:tc>
          <w:tcPr>
            <w:shd w:val="clear" w:color="auto" w:fill="F8ECD2"/>
            <w:vAlign w:val="center"/>
          </w:tcPr>
          <w:p>
            <w:pPr>
              <w:spacing w:line="360" w:lineRule="auto"/>
              <w:ind w:left="0" w:right="0" w:firstLine="493"/>
            </w:pPr>
            <w:r>
              <w:rPr>
                <w:rFonts w:ascii="Cambria" w:hAnsi="Cambria"/>
                <w:b w:val="false"/>
                <w:color w:val="58400C"/>
                <w:sz w:val="24"/>
              </w:rPr>
              <w:t>Proiecte care prevăd investiţii ce identifică soluţii inovatoare (de ex: eficienţa energetică şi promovarea energiei din surse regenerabile);</w:t>
            </w:r>
          </w:p>
        </w:tc>
        <w:tc>
          <w:tcPr>
            <w:vAlign w:val="center"/>
          </w:tcPr>
          <w:p>
            <w:pPr>
              <w:keepNext/>
              <w:jc w:val="center"/>
            </w:pPr>
            <w:r>
              <w:rPr>
                <w:rFonts w:ascii="Cambria" w:hAnsi="Cambria"/>
                <w:b w:val="false"/>
                <w:sz w:val="24"/>
              </w:rPr>
              <w:t>        35</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DOCUMENTE  PREZENTATE:</w:t>
            </w:r>
          </w:p>
          <w:p>
            <w:pPr>
              <w:spacing w:line="360" w:lineRule="auto"/>
              <w:ind w:left="0" w:right="0" w:firstLine="493"/>
            </w:pPr>
            <w:r>
              <w:rPr>
                <w:rFonts w:ascii="Cambria" w:hAnsi="Cambria"/>
                <w:b w:val="false"/>
                <w:sz w:val="24"/>
              </w:rPr>
              <w:t>Studiul de Fezabilitate/ Documentaţia de Avizare pentru Lucrări de Intervenţii/MJ</w:t>
            </w:r>
          </w:p>
          <w:p>
            <w:pPr>
              <w:spacing w:line="360" w:lineRule="auto"/>
              <w:ind w:left="0" w:right="0" w:firstLine="493"/>
            </w:pPr>
            <w:r>
              <w:rPr>
                <w:rFonts w:ascii="Cambria" w:hAnsi="Cambria"/>
                <w:b w:val="false"/>
                <w:sz w:val="24"/>
              </w:rPr>
              <w:t>PUNCTE DE VERIFICAT ÎN CADRUL DOCUMENTELOR  PREZENTATE:</w:t>
            </w:r>
          </w:p>
          <w:p>
            <w:pPr>
              <w:spacing w:line="360" w:lineRule="auto"/>
              <w:ind w:left="0" w:right="0" w:firstLine="493"/>
            </w:pPr>
            <w:r>
              <w:rPr>
                <w:rFonts w:ascii="Cambria" w:hAnsi="Cambria"/>
                <w:b w:val="false"/>
                <w:sz w:val="24"/>
              </w:rPr>
              <w:t>Expertul verifică informațiile continute în Studiul de fezabilitate/DALI/MJ și în cazul în care identifică în cadrul acțiunilor propuse prin proiect activități cum ar fi dezvoltarea de idei, servicii, noi tehnologii sau noi activităţi, acţiuni pentru protecţia mediului inovatoare (ex: eficienta energetică şi promovarea energiei din surse regenerabile, investițiilor ce vizează eficientizarea/economisirea consumului de apă, prelucrarea deșeurilor, a reziduurilor precum şi reducerea emisiilor de gaze cu efect de seră) se vor acorda 35 puncte.</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2</w:t>
            </w:r>
            <w:r>
              <w:rPr>
                <w:rFonts w:ascii="Cambria" w:hAnsi="Cambria"/>
                <w:b w:val="false"/>
                <w:color w:val="014935"/>
                <w:sz w:val="24"/>
              </w:rPr>
              <w:t>   </w:t>
            </w:r>
            <w:r>
              <w:rPr>
                <w:rFonts w:ascii="Cambria Bold" w:hAnsi="Cambria Bold"/>
                <w:b/>
                <w:color w:val="014935"/>
                <w:sz w:val="24"/>
              </w:rPr>
              <w:t>Principiul prioritizării investiţiilor noi;</w:t>
            </w:r>
          </w:p>
        </w:tc>
        <w:tc>
          <w:tcPr>
            <w:shd w:val="clear" w:color="auto" w:fill="CCE1DB"/>
            <w:vAlign w:val="center"/>
          </w:tcPr>
          <w:p>
            <w:pPr>
              <w:spacing w:line="360" w:lineRule="auto"/>
              <w:ind w:left="0" w:right="0" w:firstLine="493"/>
            </w:pPr>
            <w:r>
              <w:rPr>
                <w:rFonts w:ascii="Cambria Bold" w:hAnsi="Cambria Bold"/>
                <w:b/>
                <w:color w:val="014935"/>
                <w:sz w:val="24"/>
              </w:rPr>
              <w:t>35</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 2</w:t>
            </w:r>
          </w:p>
        </w:tc>
        <w:tc>
          <w:tcPr>
            <w:shd w:val="clear" w:color="auto" w:fill="F8ECD2"/>
            <w:vAlign w:val="center"/>
          </w:tcPr>
          <w:p>
            <w:r>
              <w:rPr>
                <w:rFonts w:ascii="Cambria" w:hAnsi="Cambria"/>
                <w:b w:val="false"/>
                <w:color w:val="58400C"/>
                <w:sz w:val="24"/>
              </w:rPr>
              <w:t>Proiecte care prevăd investiții noi;</w:t>
            </w:r>
          </w:p>
        </w:tc>
        <w:tc>
          <w:tcPr>
            <w:vAlign w:val="center"/>
          </w:tcPr>
          <w:p>
            <w:pPr>
              <w:keepNext/>
              <w:jc w:val="center"/>
            </w:pPr>
            <w:r>
              <w:rPr>
                <w:rFonts w:ascii="Cambria" w:hAnsi="Cambria"/>
                <w:b w:val="false"/>
                <w:sz w:val="24"/>
              </w:rPr>
              <w:t>35</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DOCUMENTE  PREZENTATE:</w:t>
            </w:r>
          </w:p>
          <w:p>
            <w:pPr>
              <w:spacing w:line="360" w:lineRule="auto"/>
              <w:ind w:left="0" w:right="0" w:firstLine="493"/>
            </w:pPr>
            <w:r>
              <w:rPr>
                <w:rFonts w:ascii="Cambria" w:hAnsi="Cambria"/>
                <w:b w:val="false"/>
                <w:sz w:val="24"/>
              </w:rPr>
              <w:t>Studiul de Fezabilitate/ Documentaţia de Avizare pentru Lucrări de Intervenţii/MJ</w:t>
            </w:r>
          </w:p>
          <w:p>
            <w:pPr>
              <w:spacing w:line="360" w:lineRule="auto"/>
              <w:ind w:left="0" w:right="0" w:firstLine="493"/>
            </w:pPr>
            <w:r>
              <w:rPr>
                <w:rFonts w:ascii="Cambria" w:hAnsi="Cambria"/>
                <w:b w:val="false"/>
                <w:sz w:val="24"/>
              </w:rPr>
              <w:t>PUNCTE DE VERIFICAT ÎN CADRUL DOCUMENTELOR  PREZENTATE:</w:t>
            </w:r>
          </w:p>
          <w:p>
            <w:pPr>
              <w:spacing w:line="360" w:lineRule="auto"/>
              <w:ind w:left="0" w:right="0" w:firstLine="493"/>
            </w:pPr>
            <w:r>
              <w:rPr>
                <w:rFonts w:ascii="Cambria" w:hAnsi="Cambria"/>
                <w:b w:val="false"/>
                <w:sz w:val="24"/>
              </w:rPr>
              <w:t>Expertul verifică informațiile continute în Studiul de fezabilitate/DALI/MJ și în cazul în care identifică în cadrul acțiunilor propuse prin proiect activități care nu au mai fost realizate în teritoriul respectiv, se vor acorda 35 puncte.</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3</w:t>
            </w:r>
            <w:r>
              <w:rPr>
                <w:rFonts w:ascii="Cambria" w:hAnsi="Cambria"/>
                <w:b w:val="false"/>
                <w:color w:val="014935"/>
                <w:sz w:val="24"/>
              </w:rPr>
              <w:t>   </w:t>
            </w:r>
            <w:r>
              <w:rPr>
                <w:rFonts w:ascii="Cambria Bold" w:hAnsi="Cambria Bold"/>
                <w:b/>
                <w:color w:val="014935"/>
                <w:sz w:val="24"/>
              </w:rPr>
              <w:t>Numărul beneficiarilor indirecți (populație deservită);</w:t>
            </w:r>
          </w:p>
        </w:tc>
        <w:tc>
          <w:tcPr>
            <w:shd w:val="clear" w:color="auto" w:fill="CCE1DB"/>
            <w:vAlign w:val="center"/>
          </w:tcPr>
          <w:p>
            <w:pPr>
              <w:spacing w:line="360" w:lineRule="auto"/>
              <w:ind w:left="0" w:right="0" w:firstLine="493"/>
            </w:pPr>
            <w:r>
              <w:rPr>
                <w:rFonts w:ascii="Cambria Bold" w:hAnsi="Cambria Bold"/>
                <w:b/>
                <w:color w:val="014935"/>
                <w:sz w:val="24"/>
              </w:rPr>
              <w:t>30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 3.1</w:t>
            </w:r>
          </w:p>
        </w:tc>
        <w:tc>
          <w:tcPr>
            <w:shd w:val="clear" w:color="auto" w:fill="F8ECD2"/>
            <w:vAlign w:val="center"/>
          </w:tcPr>
          <w:p>
            <w:r>
              <w:rPr>
                <w:rFonts w:ascii="Cambria" w:hAnsi="Cambria"/>
                <w:b w:val="false"/>
                <w:color w:val="58400C"/>
                <w:sz w:val="24"/>
              </w:rPr>
              <w:t>Proiecte care deservesc localități cu o populație de până la 3.000 locuitori;</w:t>
            </w:r>
          </w:p>
        </w:tc>
        <w:tc>
          <w:tcPr>
            <w:vAlign w:val="center"/>
          </w:tcPr>
          <w:p>
            <w:pPr>
              <w:keepNext/>
              <w:jc w:val="center"/>
            </w:pPr>
            <w:r>
              <w:rPr>
                <w:rFonts w:ascii="Cambria" w:hAnsi="Cambria"/>
                <w:b w:val="false"/>
                <w:sz w:val="24"/>
              </w:rPr>
              <w:t>10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DOCUMENTE  PREZENTATE:</w:t>
            </w:r>
          </w:p>
          <w:p>
            <w:pPr>
              <w:spacing w:line="360" w:lineRule="auto"/>
              <w:ind w:left="0" w:right="0" w:firstLine="493"/>
            </w:pPr>
            <w:r>
              <w:rPr>
                <w:rFonts w:ascii="Cambria" w:hAnsi="Cambria"/>
                <w:b w:val="false"/>
                <w:sz w:val="24"/>
              </w:rPr>
              <w:t>Studiul de Fezabilitate/ Documentaţia de Avizare pentru Lucrări de Intervenţii/MJ</w:t>
            </w:r>
          </w:p>
          <w:p>
            <w:pPr>
              <w:spacing w:line="360" w:lineRule="auto"/>
              <w:ind w:left="0" w:right="0" w:firstLine="493"/>
            </w:pPr>
            <w:r>
              <w:rPr>
                <w:rFonts w:ascii="Cambria" w:hAnsi="Cambria"/>
                <w:b w:val="false"/>
                <w:sz w:val="24"/>
              </w:rPr>
              <w:t>PUNCTE DE VERIFICAT ÎN CADRUL DOCUMENTELOR  PREZENTATE:</w:t>
            </w:r>
          </w:p>
          <w:p>
            <w:pPr>
              <w:spacing w:line="360" w:lineRule="auto"/>
              <w:ind w:left="0" w:right="0" w:firstLine="493"/>
            </w:pPr>
            <w:r>
              <w:rPr>
                <w:rFonts w:ascii="Cambria" w:hAnsi="Cambria"/>
                <w:b w:val="false"/>
                <w:sz w:val="24"/>
              </w:rPr>
              <w:t>Expertul verifică informațiile conținute în Anexa - COMPONENȚA TERITORIALĂ din SDL a GAL BUCEGI - LEAOTA iar în funcție de numărul total de locuitori, expertul acordă punctajul.</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CS 3.2</w:t>
            </w:r>
          </w:p>
        </w:tc>
        <w:tc>
          <w:tcPr>
            <w:shd w:val="clear" w:color="auto" w:fill="F8ECD2"/>
            <w:vAlign w:val="center"/>
          </w:tcPr>
          <w:p>
            <w:r>
              <w:rPr>
                <w:rFonts w:ascii="Cambria" w:hAnsi="Cambria"/>
                <w:b w:val="false"/>
                <w:color w:val="58400C"/>
                <w:sz w:val="24"/>
              </w:rPr>
              <w:t>Proiecte care deservesc localități cu o populație cuprinsă între 3.001 și 6.000 locuitori; </w:t>
            </w:r>
          </w:p>
        </w:tc>
        <w:tc>
          <w:tcPr>
            <w:vAlign w:val="center"/>
          </w:tcPr>
          <w:p>
            <w:pPr>
              <w:keepNext/>
              <w:jc w:val="center"/>
            </w:pPr>
            <w:r>
              <w:rPr>
                <w:rFonts w:ascii="Cambria" w:hAnsi="Cambria"/>
                <w:b w:val="false"/>
                <w:sz w:val="24"/>
              </w:rPr>
              <w:t>20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DOCUMENTE  PREZENTATE:</w:t>
            </w:r>
          </w:p>
          <w:p>
            <w:pPr>
              <w:spacing w:line="360" w:lineRule="auto"/>
              <w:ind w:left="0" w:right="0" w:firstLine="493"/>
            </w:pPr>
            <w:r>
              <w:rPr>
                <w:rFonts w:ascii="Cambria" w:hAnsi="Cambria"/>
                <w:b w:val="false"/>
                <w:sz w:val="24"/>
              </w:rPr>
              <w:t>Studiul de Fezabilitate/ Documentaţia de Avizare pentru Lucrări de Intervenţii/MJ</w:t>
            </w:r>
          </w:p>
          <w:p>
            <w:pPr>
              <w:spacing w:line="360" w:lineRule="auto"/>
              <w:ind w:left="0" w:right="0" w:firstLine="493"/>
            </w:pPr>
            <w:r>
              <w:rPr>
                <w:rFonts w:ascii="Cambria" w:hAnsi="Cambria"/>
                <w:b w:val="false"/>
                <w:sz w:val="24"/>
              </w:rPr>
              <w:t>PUNCTE DE VERIFICAT ÎN CADRUL DOCUMENTELOR  PREZENTATE:</w:t>
            </w:r>
          </w:p>
          <w:p>
            <w:pPr>
              <w:spacing w:line="360" w:lineRule="auto"/>
              <w:ind w:left="0" w:right="0" w:firstLine="493"/>
            </w:pPr>
            <w:r>
              <w:rPr>
                <w:rFonts w:ascii="Cambria" w:hAnsi="Cambria"/>
                <w:b w:val="false"/>
                <w:sz w:val="24"/>
              </w:rPr>
              <w:t>Expertul verifică informațiile conținute în Anexa - COMPONENȚA TERITORIALĂ din SDL a GAL BUCEGI - LEAOTA iar în funcție de numărul total de locuitori, expertul acordă punctajul.</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CS 3.3</w:t>
            </w:r>
          </w:p>
        </w:tc>
        <w:tc>
          <w:tcPr>
            <w:shd w:val="clear" w:color="auto" w:fill="F8ECD2"/>
            <w:vAlign w:val="center"/>
          </w:tcPr>
          <w:p>
            <w:r>
              <w:rPr>
                <w:rFonts w:ascii="Cambria" w:hAnsi="Cambria"/>
                <w:b w:val="false"/>
                <w:color w:val="58400C"/>
                <w:sz w:val="24"/>
              </w:rPr>
              <w:t>Proiecte care deservesc localități cu o populație mai mare de 6.000 locuitori; </w:t>
            </w:r>
          </w:p>
        </w:tc>
        <w:tc>
          <w:tcPr>
            <w:vAlign w:val="center"/>
          </w:tcPr>
          <w:p>
            <w:pPr>
              <w:keepNext/>
              <w:jc w:val="center"/>
            </w:pPr>
            <w:r>
              <w:rPr>
                <w:rFonts w:ascii="Cambria" w:hAnsi="Cambria"/>
                <w:b w:val="false"/>
                <w:sz w:val="24"/>
              </w:rPr>
              <w:t>30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DOCUMENTE  PREZENTATE:</w:t>
            </w:r>
          </w:p>
          <w:p>
            <w:pPr>
              <w:spacing w:line="360" w:lineRule="auto"/>
              <w:ind w:left="0" w:right="0" w:firstLine="493"/>
            </w:pPr>
            <w:r>
              <w:rPr>
                <w:rFonts w:ascii="Cambria" w:hAnsi="Cambria"/>
                <w:b w:val="false"/>
                <w:sz w:val="24"/>
              </w:rPr>
              <w:t>Studiul de Fezabilitate/ Documentaţia de Avizare pentru Lucrări de Intervenţii/MJ</w:t>
            </w:r>
          </w:p>
          <w:p>
            <w:pPr>
              <w:spacing w:line="360" w:lineRule="auto"/>
              <w:ind w:left="0" w:right="0" w:firstLine="493"/>
            </w:pPr>
            <w:r>
              <w:rPr>
                <w:rFonts w:ascii="Cambria" w:hAnsi="Cambria"/>
                <w:b w:val="false"/>
                <w:sz w:val="24"/>
              </w:rPr>
              <w:t>PUNCTE DE VERIFICAT ÎN CADRUL DOCUMENTELOR  PREZENTATE:</w:t>
            </w:r>
          </w:p>
          <w:p>
            <w:pPr>
              <w:spacing w:line="360" w:lineRule="auto"/>
              <w:ind w:left="0" w:right="0" w:firstLine="493"/>
            </w:pPr>
            <w:r>
              <w:rPr>
                <w:rFonts w:ascii="Cambria" w:hAnsi="Cambria"/>
                <w:b w:val="false"/>
                <w:sz w:val="24"/>
              </w:rPr>
              <w:t>Expertul verifică informațiile conținute în Anexa - COMPONENȚA TERITORIALĂ din SDL a GAL BUCEGI - LEAOTA iar în funcție de numărul total de locuitori, expertul acordă punctajul.</w:t>
            </w:r>
          </w:p>
          <w:p>
            <w:r>
              <w:rPr>
                <w:rFonts w:ascii="Cambria" w:hAnsi="Cambria"/>
                <w:b w:val="false"/>
                <w:sz w:val="24"/>
              </w:rPr>
              <w:t>4 TOTAL 100 PUNCTE 5 PRAG DE CALITATE (PUNCTAJ MINIM) 10 PUNCTE </w:t>
            </w:r>
          </w:p>
        </w:tc>
      </w:tr>
      <w:tr>
        <w:trPr>
          <w:trHeight w:val="360" w:hRule="atLeast"/>
        </w:trPr>
        <w:tc>
          <w:tcPr>
            <w:gridSpan w:val="5"/>
            <w:vAlign w:val="center"/>
          </w:tcPr>
          <w:p>
            <w:r>
              <w:rPr>
                <w:rFonts w:ascii="Cambria" w:hAnsi="Cambria"/>
                <w:b w:val="false"/>
                <w:sz w:val="24"/>
              </w:rPr>
              <w:t> </w:t>
            </w:r>
          </w:p>
        </w:tc>
      </w:tr>
      <w:tr>
        <w:trPr>
          <w:trHeight w:val="479" w:hRule="atLeast"/>
        </w:trPr>
        <w:tc>
          <w:tcPr>
            <w:gridSpan w:val="2"/>
            <w:shd w:val="clear" w:color="auto" w:fill="B3C6D9"/>
            <w:vAlign w:val="center"/>
          </w:tcPr>
          <w:p>
            <w:r>
              <w:rPr>
                <w:rFonts w:ascii="Cambria" w:hAnsi="Cambria"/>
                <w:b w:val="false"/>
                <w:sz w:val="24"/>
              </w:rPr>
              <w:t>PRAG DE CALITATE</w:t>
            </w:r>
          </w:p>
        </w:tc>
        <w:tc>
          <w:tcPr>
            <w:gridSpan w:val="3"/>
            <w:shd w:val="clear" w:color="auto" w:fill="B3C6D9"/>
            <w:vAlign w:val="center"/>
          </w:tcPr>
          <w:p/>
        </w:tc>
      </w:tr>
      <w:tr>
        <w:trPr>
          <w:trHeight w:val="479" w:hRule="atLeast"/>
        </w:trPr>
        <w:tc>
          <w:tcPr>
            <w:gridSpan w:val="2"/>
            <w:shd w:val="clear" w:color="auto" w:fill="B3C6D9"/>
            <w:vAlign w:val="center"/>
          </w:tcPr>
          <w:p>
            <w:r>
              <w:rPr>
                <w:rFonts w:ascii="Cambria" w:hAnsi="Cambria"/>
                <w:b w:val="false"/>
                <w:sz w:val="24"/>
              </w:rPr>
              <w:t>TOTAL PUNCTAJ OBȚINUT</w:t>
            </w:r>
          </w:p>
        </w:tc>
        <w:tc>
          <w:tcPr>
            <w:gridSpan w:val="3"/>
            <w:shd w:val="clear" w:color="auto" w:fill="B3C6D9"/>
            <w:vAlign w:val="center"/>
          </w:tcP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pPr>
        <w:spacing w:line="264" w:lineRule="auto"/>
        <w:ind w:left="0" w:right="0" w:firstLine="0"/>
      </w:pPr>
      <w:r>
        <w:rPr>
          <w:rFonts w:ascii="Cambria" w:hAnsi="Cambria"/>
          <w:b w:val="false"/>
          <w:sz w:val="24"/>
        </w:rPr>
        <w:br/>
      </w:r>
      <w:r>
        <w:rPr>
          <w:rFonts w:ascii="Cambria Bold" w:hAnsi="Cambria Bold"/>
          <w:b/>
          <w:sz w:val="24"/>
        </w:rPr>
        <w:t>Justificarea criteriilor de departajare aplicate</w:t>
      </w:r>
      <w:r>
        <w:rPr>
          <w:rFonts w:ascii="Cambria" w:hAnsi="Cambria"/>
          <w:b w:val="false"/>
          <w:sz w:val="24"/>
        </w:rPr>
        <w:t>  (dacă este cazul)</w:t>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015840"/>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500" w:type="pct"/>
            <w:shd w:val="clear" w:color="auto" w:fill="015840"/>
            <w:vAlign w:val="center"/>
          </w:tcPr>
          <w:p>
            <w:r>
              <w:rPr>
                <w:rFonts w:ascii="Cambria Bold" w:hAnsi="Cambria Bold"/>
                <w:b/>
                <w:color w:val="FFFFFF"/>
                <w:sz w:val="24"/>
              </w:rPr>
              <w:t>Criterii de departajare</w:t>
            </w:r>
          </w:p>
        </w:tc>
        <w:tc>
          <w:tcPr>
            <w:tcW w:w="750" w:type="pct"/>
            <w:shd w:val="clear" w:color="auto" w:fill="015840"/>
            <w:vAlign w:val="center"/>
          </w:tcPr>
          <w:p>
            <w:pPr>
              <w:keepNext/>
              <w:jc w:val="center"/>
            </w:pPr>
            <w:r>
              <w:rPr>
                <w:rFonts w:ascii="Cambria Bold" w:hAnsi="Cambria Bold"/>
                <w:b/>
                <w:color w:val="FFFFFF"/>
                <w:sz w:val="24"/>
              </w:rPr>
              <w:t>Punctaj</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obținut</w:t>
            </w:r>
          </w:p>
        </w:tc>
        <w:tc>
          <w:tcPr>
            <w:shd w:val="clear" w:color="auto" w:fill="015840"/>
            <w:vAlign w:val="center"/>
          </w:tcPr>
          <w:p>
            <w:pPr>
              <w:keepNext/>
              <w:jc w:val="center"/>
            </w:pPr>
            <w:r>
              <w:rPr>
                <w:rFonts w:ascii="Cambria Bold" w:hAnsi="Cambria Bold"/>
                <w:b/>
                <w:color w:val="FFFFFF"/>
                <w:sz w:val="24"/>
              </w:rPr>
              <w:t>Justificare</w:t>
            </w:r>
          </w:p>
        </w:tc>
      </w:tr>
      <w:tr>
        <w:trPr>
          <w:trHeight w:val="45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Pentru fiecare criteriu de departajare este necesară justificarea acordării punctajului</w:t>
            </w:r>
          </w:p>
        </w:tc>
      </w:tr>
      <w:tr>
        <w:trPr/>
        <w:tc>
          <w:tcPr>
            <w:shd w:val="clear" w:color="auto" w:fill="F8ECD2"/>
            <w:vAlign w:val="center"/>
          </w:tcPr>
          <w:p>
            <w:r>
              <w:rPr>
                <w:rFonts w:ascii="Cambria" w:hAnsi="Cambria"/>
                <w:b w:val="false"/>
                <w:color w:val="58400C"/>
                <w:sz w:val="24"/>
              </w:rPr>
              <w:t>CD 1</w:t>
            </w:r>
          </w:p>
        </w:tc>
        <w:tc>
          <w:tcPr>
            <w:shd w:val="clear" w:color="auto" w:fill="F8ECD2"/>
            <w:vAlign w:val="center"/>
          </w:tcPr>
          <w:p>
            <w:r>
              <w:rPr>
                <w:rFonts w:ascii="Cambria" w:hAnsi="Cambria"/>
                <w:b w:val="false"/>
                <w:color w:val="58400C"/>
                <w:sz w:val="24"/>
              </w:rPr>
              <w:t>Valoarea totală a proiectului (fără TVA)</w:t>
            </w:r>
          </w:p>
        </w:tc>
        <w:tc>
          <w:tcPr>
            <w:vAlign w:val="center"/>
          </w:tcPr>
          <w:p/>
        </w:tc>
        <w:tc>
          <w:tcPr>
            <w:vAlign w:val="center"/>
          </w:tcPr>
          <w:p/>
        </w:tc>
        <w:tc>
          <w:tcPr>
            <w:vAlign w:val="center"/>
          </w:tcPr>
          <w:p/>
        </w:tc>
      </w:tr>
      <w:tr>
        <w:trPr/>
        <w:tc>
          <w:tcPr>
            <w:gridSpan w:val="5"/>
            <w:shd w:val="clear" w:color="auto" w:fill="DDDDDD"/>
            <w:vAlign w:val="center"/>
          </w:tcPr>
          <w:p>
            <w:r>
              <w:rPr>
                <w:rFonts w:ascii="Cambria Bold" w:hAnsi="Cambria Bold"/>
                <w:b/>
                <w:sz w:val="24"/>
              </w:rPr>
              <w:t>Documente obligatorii: </w:t>
            </w:r>
            <w:r>
              <w:rPr>
                <w:rFonts w:ascii="Cambria" w:hAnsi="Cambria"/>
                <w:b w:val="false"/>
                <w:sz w:val="24"/>
              </w:rPr>
              <w:t>Cerere de finantare.</w:t>
            </w:r>
            <w:r>
              <w:rPr>
                <w:rFonts w:ascii="Cambria Bold" w:hAnsi="Cambria Bold"/>
                <w:b/>
                <w:sz w:val="24"/>
              </w:rPr>
              <w:t>Metodologia de verificare:</w:t>
            </w:r>
            <w:r>
              <w:rPr>
                <w:rFonts w:ascii="Cambria Bold" w:hAnsi="Cambria Bold"/>
                <w:b/>
                <w:sz w:val="24"/>
              </w:rPr>
              <w:t> </w:t>
            </w:r>
            <w:r>
              <w:rPr>
                <w:rFonts w:ascii="Cambria" w:hAnsi="Cambria"/>
                <w:b w:val="false"/>
                <w:sz w:val="24"/>
              </w:rPr>
              <w:t>Au prioritate proiectele au valoarea totală, fără TVA, cea mai mare.Departajarea proiectelor cu acelasi punctaj se realizeaza in baza valoriitotale a proiectului, respectiv va avea prioritate proiectul cu o valoaretotala mai mare întrucât acesta creează o valoare adaugată mai mare la nivel teritorial. Valoarea totală a proiectului este formată din valoare eligibilă și valoarea neeligibilă si este mentionata in cererea de finantarea, în sectiunea C.2 Buget indicativ/Plan financiar/Total proiect/Coloana Total. </w:t>
            </w:r>
          </w:p>
        </w:tc>
      </w:tr>
      <w:tr>
        <w:trPr>
          <w:trHeight w:val="360" w:hRule="atLeast"/>
        </w:trPr>
        <w:tc>
          <w:tcPr>
            <w:gridSpan w:val="5"/>
            <w:vAlign w:val="center"/>
          </w:tcPr>
          <w:p>
            <w:r>
              <w:rPr>
                <w:rFonts w:ascii="Cambria" w:hAnsi="Cambria"/>
                <w:b w:val="false"/>
                <w:sz w:val="24"/>
              </w:rPr>
              <w:t> </w:t>
            </w: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tbl>
      <w:tblPr>
        <w:tblStyle w:val="TableGrid"/>
        <w:tblW w:w="5000" w:type="pct"/>
        <w:tblBorders>
          <w:top w:val="none"/>
          <w:left w:val="none"/>
          <w:bottom w:val="none"/>
          <w:right w:val="none"/>
          <w:insideH w:val="none"/>
          <w:insideV w:val="none"/>
        </w:tblBorders>
        <w:tblCellMar>
          <w:top w:w="45" w:type="dxa"/>
          <w:left w:w="45" w:type="dxa"/>
          <w:bottom w:w="45" w:type="dxa"/>
          <w:right w:w="45" w:type="dxa"/>
        </w:tblCellMar>
      </w:tblPr>
      <w:tblGrid>
        <w:gridCol/>
        <w:gridCol/>
      </w:tblGrid>
      <w:tr>
        <w:trPr>
          <w:trHeight w:val="1080" w:hRule="atLeast"/>
        </w:trPr>
        <w:tc>
          <w:tcPr>
            <w:gridSpan w:val="2"/>
            <w:vAlign w:val="bottom"/>
          </w:tcPr>
          <w:p>
            <w:pPr>
              <w:keepNext/>
              <w:jc w:val="left"/>
            </w:pPr>
            <w:r>
              <w:rPr>
                <w:rFonts w:ascii="Cambria Bold" w:hAnsi="Cambria Bold"/>
                <w:b/>
                <w:sz w:val="24"/>
              </w:rPr>
              <w:t>Verificat,</w:t>
            </w:r>
          </w:p>
        </w:tc>
      </w:tr>
      <w:tr>
        <w:trPr>
          <w:trHeight w:val="479" w:hRule="atLeast"/>
        </w:trPr>
        <w:tc>
          <w:tcPr>
            <w:vAlign w:val="center"/>
          </w:tcPr>
          <w:p>
            <w:pPr>
              <w:keepNext/>
              <w:jc w:val="left"/>
            </w:pPr>
            <w:r>
              <w:rPr>
                <w:rFonts w:ascii="Cambria Bold" w:hAnsi="Cambria Bold"/>
                <w:b/>
                <w:sz w:val="24"/>
              </w:rPr>
              <w:t>Evaluator 1 GAL _ _ _ _ _ _ _ _ _ _ _ _ _ _ _ _ _</w:t>
            </w:r>
          </w:p>
        </w:tc>
        <w:tc>
          <w:tcPr>
            <w:vAlign w:val="center"/>
          </w:tcPr>
          <w:p>
            <w:pPr>
              <w:keepNext/>
              <w:jc w:val="right"/>
            </w:pPr>
            <w:r>
              <w:rPr>
                <w:rFonts w:ascii="Cambria Bold" w:hAnsi="Cambria Bold"/>
                <w:b/>
                <w:sz w:val="24"/>
              </w:rPr>
              <w:t>Semnătura și data _ _ _ _ _ _ _ _ _ _ _ _ _ _ _ _ _</w:t>
            </w:r>
          </w:p>
        </w:tc>
      </w:tr>
      <w:tr>
        <w:trPr>
          <w:trHeight w:val="479" w:hRule="atLeast"/>
        </w:trPr>
        <w:tc>
          <w:tcPr>
            <w:vAlign w:val="center"/>
          </w:tcPr>
          <w:p>
            <w:pPr>
              <w:keepNext/>
              <w:jc w:val="left"/>
            </w:pPr>
            <w:r>
              <w:rPr>
                <w:rFonts w:ascii="Cambria Bold" w:hAnsi="Cambria Bold"/>
                <w:b/>
                <w:sz w:val="24"/>
              </w:rPr>
              <w:t>Evaluator 2 GAL _ _ _ _ _ _ _ _ _ _ _ _ _ _ _ _ _</w:t>
            </w:r>
          </w:p>
        </w:tc>
        <w:tc>
          <w:tcPr>
            <w:vAlign w:val="center"/>
          </w:tcPr>
          <w:p>
            <w:pPr>
              <w:keepNext/>
              <w:jc w:val="right"/>
            </w:pPr>
            <w:r>
              <w:rPr>
                <w:rFonts w:ascii="Cambria Bold" w:hAnsi="Cambria Bold"/>
                <w:b/>
                <w:sz w:val="24"/>
              </w:rPr>
              <w:t>Semnătura și data _ _ _ _ _ _ _ _ _ _ _ _ _ _ _ _ _</w:t>
            </w:r>
          </w:p>
        </w:tc>
      </w:tr>
    </w:tbl>
  </w:body>
</w:document>
</file>

<file path=word/styles.xml><?xml version="1.0" encoding="utf-8"?>
<w:styles xmlns:w="http://schemas.openxmlformats.org/wordprocessingml/2006/main">
  <w:style xmlns:w="http://schemas.openxmlformats.org/wordprocessingml/2006/main" w:type="table" w:styleId="TableGrid">
    <w:name w:val="Table Grid"/>
    <w:basedOn w:val="TableNormal"/>
    <w:pPr>
      <w:spacing w:after="0" w:line="240" w:lineRule="auto"/>
    </w:p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&#65279;<?xml version="1.0" encoding="utf-8"?><Relationships xmlns="http://schemas.openxmlformats.org/package/2006/relationships"><Relationship Type="http://schemas.openxmlformats.org/officeDocument/2006/relationships/styles" Target="/word/styles.xml" Id="R722d4f79e4e74ab0" /></Relationships>
</file>